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769" w14:textId="0826DEEC" w:rsidR="004212B4" w:rsidRPr="00E1728C" w:rsidRDefault="00000000" w:rsidP="00E1728C">
      <w:pPr>
        <w:pStyle w:val="NormalWeb"/>
        <w:spacing w:before="0" w:beforeAutospacing="0"/>
        <w:rPr>
          <w:rFonts w:ascii="Avenir Heavy" w:hAnsi="Avenir Heavy" w:cs="Arial"/>
          <w:b/>
          <w:bCs/>
          <w:color w:val="1F1F1F"/>
          <w:sz w:val="28"/>
          <w:szCs w:val="28"/>
        </w:rPr>
      </w:pPr>
      <w:r w:rsidRPr="00E1728C">
        <w:rPr>
          <w:rFonts w:ascii="Avenir Heavy" w:hAnsi="Avenir Heavy" w:cs="Arial"/>
          <w:b/>
          <w:bCs/>
          <w:color w:val="1F1F1F"/>
          <w:sz w:val="28"/>
          <w:szCs w:val="28"/>
        </w:rPr>
        <w:t>TISKOVÁ ZPRÁVA</w:t>
      </w:r>
      <w:r w:rsidR="00C33F03">
        <w:rPr>
          <w:rStyle w:val="FootnoteReference"/>
          <w:rFonts w:ascii="Avenir Heavy" w:hAnsi="Avenir Heavy" w:cs="Arial"/>
          <w:b/>
          <w:bCs/>
          <w:color w:val="1F1F1F"/>
          <w:sz w:val="28"/>
          <w:szCs w:val="28"/>
        </w:rPr>
        <w:footnoteReference w:id="1"/>
      </w:r>
    </w:p>
    <w:p w14:paraId="606D5E52" w14:textId="77777777" w:rsidR="004212B4" w:rsidRPr="00E1728C" w:rsidRDefault="00000000" w:rsidP="00E1728C">
      <w:pPr>
        <w:pStyle w:val="NormalWeb"/>
        <w:spacing w:before="0" w:beforeAutospacing="0"/>
        <w:rPr>
          <w:rFonts w:ascii="Avenir Book" w:hAnsi="Avenir Book"/>
          <w:color w:val="1F1F1F"/>
          <w:sz w:val="21"/>
          <w:szCs w:val="21"/>
          <w:u w:val="single"/>
        </w:rPr>
      </w:pPr>
      <w:r w:rsidRPr="00E1728C">
        <w:rPr>
          <w:rFonts w:ascii="Avenir Book" w:hAnsi="Avenir Book"/>
          <w:color w:val="1F1F1F"/>
          <w:sz w:val="21"/>
          <w:szCs w:val="21"/>
          <w:u w:val="single"/>
        </w:rPr>
        <w:t>12. ledna 2026, Bratislava / Brusel</w:t>
      </w:r>
    </w:p>
    <w:p w14:paraId="5EC84E32" w14:textId="47333E2A" w:rsidR="004212B4" w:rsidRPr="00E1728C" w:rsidRDefault="004B1B68" w:rsidP="00E1728C">
      <w:pPr>
        <w:pStyle w:val="Heading1"/>
        <w:spacing w:before="0"/>
        <w:rPr>
          <w:rFonts w:ascii="Avenir Book" w:hAnsi="Avenir Book"/>
          <w:color w:val="002060"/>
          <w:sz w:val="28"/>
          <w:szCs w:val="28"/>
        </w:rPr>
      </w:pPr>
      <w:r>
        <w:rPr>
          <w:rFonts w:ascii="Avenir Book" w:hAnsi="Avenir Book"/>
          <w:color w:val="002060"/>
          <w:sz w:val="28"/>
          <w:szCs w:val="28"/>
        </w:rPr>
        <w:br/>
      </w:r>
      <w:r w:rsidRPr="00E1728C">
        <w:rPr>
          <w:rFonts w:ascii="Avenir Book" w:hAnsi="Avenir Book"/>
          <w:color w:val="002060"/>
          <w:sz w:val="28"/>
          <w:szCs w:val="28"/>
        </w:rPr>
        <w:t>Z TYGRA MÝVALEM: SLOVENSKO ČELÍ FISKÁLNÍMU ZÚČTOVÁNÍ</w:t>
      </w:r>
    </w:p>
    <w:p w14:paraId="456CCF45" w14:textId="77777777" w:rsidR="004212B4" w:rsidRPr="00E1728C" w:rsidRDefault="00000000" w:rsidP="00E1728C">
      <w:pPr>
        <w:spacing w:after="120"/>
        <w:rPr>
          <w:rFonts w:ascii="Avenir Book" w:hAnsi="Avenir Book"/>
          <w:sz w:val="21"/>
          <w:szCs w:val="21"/>
        </w:rPr>
      </w:pPr>
      <w:r w:rsidRPr="00E1728C">
        <w:rPr>
          <w:rFonts w:ascii="Avenir Book" w:hAnsi="Avenir Book"/>
          <w:i/>
          <w:iCs/>
        </w:rPr>
        <w:t>Nová analýza Future Slovakia Forum varuje před pastí „mrtvých peněz“ – obsluha dluhu dosahuje 2 miliardy eur ročně</w:t>
      </w:r>
    </w:p>
    <w:p w14:paraId="4A8273FE" w14:textId="77777777" w:rsidR="00E1728C" w:rsidRDefault="00E1728C" w:rsidP="00E1728C">
      <w:pPr>
        <w:spacing w:after="120"/>
        <w:rPr>
          <w:rFonts w:ascii="Avenir Book" w:hAnsi="Avenir Book"/>
          <w:b/>
          <w:bCs/>
        </w:rPr>
      </w:pPr>
    </w:p>
    <w:p w14:paraId="7A58749C" w14:textId="2C1F5EBE" w:rsidR="004212B4" w:rsidRPr="00E1728C" w:rsidRDefault="00000000" w:rsidP="00E1728C">
      <w:pPr>
        <w:spacing w:after="120"/>
        <w:rPr>
          <w:rFonts w:ascii="Avenir Book" w:hAnsi="Avenir Book"/>
        </w:rPr>
      </w:pPr>
      <w:r w:rsidRPr="00E1728C">
        <w:rPr>
          <w:rFonts w:ascii="Avenir Book" w:hAnsi="Avenir Book"/>
          <w:b/>
          <w:bCs/>
        </w:rPr>
        <w:t>BRATISLAVA</w:t>
      </w:r>
      <w:r w:rsidRPr="00E1728C">
        <w:rPr>
          <w:rFonts w:ascii="Avenir Book" w:hAnsi="Avenir Book"/>
        </w:rPr>
        <w:t xml:space="preserve"> – Dvě dekády poté, co bylo Slovensko oslavováno jako „tatranský tygr“ ekonomických reforem, se proměnilo v „chromého mývala“ střední Evropy – ekonomiku přežívající na odpadcích, zatěžující budoucí generace „mrtvými penězi“ a čelící proceduře EU při nadměrném schodku.</w:t>
      </w:r>
    </w:p>
    <w:p w14:paraId="2E7E901D" w14:textId="6919D147" w:rsidR="004212B4" w:rsidRPr="00E1728C" w:rsidRDefault="00000000">
      <w:pPr>
        <w:spacing w:after="300"/>
        <w:rPr>
          <w:rFonts w:ascii="Avenir Book" w:hAnsi="Avenir Book"/>
        </w:rPr>
      </w:pPr>
      <w:r w:rsidRPr="00E1728C">
        <w:rPr>
          <w:rFonts w:ascii="Avenir Book" w:hAnsi="Avenir Book"/>
        </w:rPr>
        <w:t>Ve své nové analýze nazvané „</w:t>
      </w:r>
      <w:r w:rsidRPr="00E1728C">
        <w:rPr>
          <w:rFonts w:ascii="Avenir Book" w:hAnsi="Avenir Book"/>
          <w:b/>
          <w:bCs/>
        </w:rPr>
        <w:t>BRATŘI</w:t>
      </w:r>
      <w:r w:rsidR="00C33F03">
        <w:rPr>
          <w:rFonts w:ascii="Avenir Book" w:hAnsi="Avenir Book"/>
          <w:b/>
          <w:bCs/>
        </w:rPr>
        <w:t>, BDĚTE</w:t>
      </w:r>
      <w:r w:rsidRPr="00E1728C">
        <w:rPr>
          <w:rFonts w:ascii="Avenir Book" w:hAnsi="Avenir Book"/>
          <w:b/>
          <w:bCs/>
        </w:rPr>
        <w:t xml:space="preserve"> – </w:t>
      </w:r>
      <w:r w:rsidRPr="00E1728C">
        <w:rPr>
          <w:rFonts w:ascii="Avenir Book" w:hAnsi="Avenir Book"/>
          <w:b/>
          <w:bCs/>
          <w:color w:val="FFAE00"/>
        </w:rPr>
        <w:t xml:space="preserve">Varování ze Slovenska: </w:t>
      </w:r>
      <w:r w:rsidRPr="00E1728C">
        <w:rPr>
          <w:rFonts w:ascii="Avenir Book" w:hAnsi="Avenir Book"/>
          <w:b/>
          <w:bCs/>
          <w:color w:val="06244B"/>
        </w:rPr>
        <w:t>Z tatranského tygra chromým mývalem Evropy</w:t>
      </w:r>
      <w:r w:rsidRPr="00E1728C">
        <w:rPr>
          <w:rFonts w:ascii="Avenir Book" w:hAnsi="Avenir Book"/>
        </w:rPr>
        <w:t>“ dokumentuje think-tank Future Slovakia Forum nejstrmější ekonomickou degradaci ve Visegrádské skupině (V4).</w:t>
      </w:r>
    </w:p>
    <w:p w14:paraId="486B83B9" w14:textId="77777777" w:rsidR="004212B4" w:rsidRPr="00E1728C" w:rsidRDefault="00000000" w:rsidP="00E1728C">
      <w:pPr>
        <w:pStyle w:val="Heading2"/>
      </w:pPr>
      <w:r w:rsidRPr="00E1728C">
        <w:t>Klíčová zjištění:</w:t>
      </w:r>
    </w:p>
    <w:p w14:paraId="08C0B105" w14:textId="77777777" w:rsidR="004B1B68" w:rsidRPr="004B1B68" w:rsidRDefault="004B1B68" w:rsidP="004B1B68">
      <w:pPr>
        <w:spacing w:after="150"/>
        <w:rPr>
          <w:rFonts w:ascii="Avenir Book" w:hAnsi="Avenir Book"/>
        </w:rPr>
      </w:pPr>
      <w:r w:rsidRPr="004B1B68">
        <w:rPr>
          <w:rFonts w:ascii="Avenir Book" w:hAnsi="Avenir Book"/>
          <w:b/>
          <w:bCs/>
        </w:rPr>
        <w:t xml:space="preserve">Stagnace růstu: </w:t>
      </w:r>
      <w:r w:rsidRPr="004B1B68">
        <w:rPr>
          <w:rFonts w:ascii="Avenir Book" w:hAnsi="Avenir Book"/>
        </w:rPr>
        <w:t>Zatímco Polsko má v prognóze na rok 2026 růst 3,5 % a vyspělá česká ekonomika 1,9 %, Slovensko má zaostávat na pouhém 1,0 % (Podzimní prognóza Evropské komise).</w:t>
      </w:r>
    </w:p>
    <w:p w14:paraId="6353BC9E" w14:textId="77777777" w:rsidR="004B1B68" w:rsidRPr="004B1B68" w:rsidRDefault="004B1B68" w:rsidP="004B1B68">
      <w:pPr>
        <w:spacing w:after="150"/>
        <w:rPr>
          <w:rFonts w:ascii="Avenir Book" w:hAnsi="Avenir Book"/>
        </w:rPr>
      </w:pPr>
      <w:r w:rsidRPr="004B1B68">
        <w:rPr>
          <w:rFonts w:ascii="Avenir Book" w:hAnsi="Avenir Book"/>
          <w:b/>
          <w:bCs/>
        </w:rPr>
        <w:t xml:space="preserve">Dluhová past: </w:t>
      </w:r>
      <w:r w:rsidRPr="004B1B68">
        <w:rPr>
          <w:rFonts w:ascii="Avenir Book" w:hAnsi="Avenir Book"/>
        </w:rPr>
        <w:t>Veřejný dluh vzrostl ze 48 % HDP (2019) na projektovaných 64 % v roce 2026.</w:t>
      </w:r>
    </w:p>
    <w:p w14:paraId="1E77F542" w14:textId="77777777" w:rsidR="004B1B68" w:rsidRPr="004B1B68" w:rsidRDefault="004B1B68" w:rsidP="004B1B68">
      <w:pPr>
        <w:spacing w:after="150"/>
        <w:rPr>
          <w:rFonts w:ascii="Avenir Book" w:hAnsi="Avenir Book"/>
        </w:rPr>
      </w:pPr>
      <w:r w:rsidRPr="004B1B68">
        <w:rPr>
          <w:rFonts w:ascii="Avenir Book" w:hAnsi="Avenir Book"/>
          <w:b/>
          <w:bCs/>
        </w:rPr>
        <w:t xml:space="preserve">Cena populismu: </w:t>
      </w:r>
      <w:r w:rsidRPr="004B1B68">
        <w:rPr>
          <w:rFonts w:ascii="Avenir Book" w:hAnsi="Avenir Book"/>
        </w:rPr>
        <w:t>Úrokové platby ze státního dluhu přesáhnou v roce 2026 částku 2 miliardy eur. Tato suma – zdvojnásobená za pouhé tři roky – se zhruba rovná celému ročnímu rozpočtu slovenského Ministerstva vnitra.</w:t>
      </w:r>
    </w:p>
    <w:p w14:paraId="7B08A21D" w14:textId="77777777" w:rsidR="004B1B68" w:rsidRPr="004B1B68" w:rsidRDefault="004B1B68" w:rsidP="004B1B68">
      <w:pPr>
        <w:spacing w:after="150"/>
        <w:rPr>
          <w:rFonts w:ascii="Avenir Book" w:hAnsi="Avenir Book"/>
        </w:rPr>
      </w:pPr>
      <w:r w:rsidRPr="004B1B68">
        <w:rPr>
          <w:rFonts w:ascii="Avenir Book" w:hAnsi="Avenir Book"/>
          <w:b/>
          <w:bCs/>
        </w:rPr>
        <w:t xml:space="preserve">Selhání konsolidace: </w:t>
      </w:r>
      <w:r w:rsidRPr="004B1B68">
        <w:rPr>
          <w:rFonts w:ascii="Avenir Book" w:hAnsi="Avenir Book"/>
        </w:rPr>
        <w:t>Vlajková loď vládní konsolidace – daň z finančních transakcí – vybrala pouze 60 % projektovaných příjmů, protože podniky odcházely nebo optimalizovaly. Důkaz, že „konsolidaci nelze stavět na písku“.</w:t>
      </w:r>
    </w:p>
    <w:p w14:paraId="15403B22" w14:textId="77777777" w:rsidR="004B1B68" w:rsidRPr="004B1B68" w:rsidRDefault="004B1B68" w:rsidP="004B1B68">
      <w:pPr>
        <w:spacing w:after="150"/>
        <w:rPr>
          <w:rFonts w:ascii="Avenir Book" w:hAnsi="Avenir Book"/>
        </w:rPr>
      </w:pPr>
      <w:r w:rsidRPr="004B1B68">
        <w:rPr>
          <w:rFonts w:ascii="Avenir Book" w:hAnsi="Avenir Book"/>
          <w:b/>
          <w:bCs/>
        </w:rPr>
        <w:t xml:space="preserve">Inflační divergence: </w:t>
      </w:r>
      <w:r w:rsidRPr="004B1B68">
        <w:rPr>
          <w:rFonts w:ascii="Avenir Book" w:hAnsi="Avenir Book"/>
        </w:rPr>
        <w:t>Zatímco eurozóna stabilizuje ceny (1,9 %), Slovensko čelí inflačnímu šoku (4,1 %) způsobenému zvýšením DPH na 23 % a deregulací energií – více než dvojnásobek průměru eurozóny.</w:t>
      </w:r>
    </w:p>
    <w:p w14:paraId="5C293FEC" w14:textId="77777777" w:rsidR="004B1B68" w:rsidRPr="004B1B68" w:rsidRDefault="004B1B68" w:rsidP="004B1B68">
      <w:pPr>
        <w:spacing w:after="300"/>
        <w:rPr>
          <w:rFonts w:ascii="Avenir Book" w:hAnsi="Avenir Book"/>
        </w:rPr>
      </w:pPr>
      <w:r w:rsidRPr="004B1B68">
        <w:rPr>
          <w:rFonts w:ascii="Avenir Book" w:hAnsi="Avenir Book"/>
          <w:b/>
          <w:bCs/>
        </w:rPr>
        <w:t xml:space="preserve">Kolaps čerpání eurofondů: </w:t>
      </w:r>
      <w:r w:rsidRPr="004B1B68">
        <w:rPr>
          <w:rFonts w:ascii="Avenir Book" w:hAnsi="Avenir Book"/>
        </w:rPr>
        <w:t>Stát zlyhává v investicích – do konce roku 2025 vyčerpal pouhých 12,3 % z dostupných eurofondů (1,5 mld. € z 12,8 mld. €), čímž riskuje miliardové ztráty.</w:t>
      </w:r>
    </w:p>
    <w:p w14:paraId="71189C02" w14:textId="77777777" w:rsidR="004212B4" w:rsidRPr="00E1728C" w:rsidRDefault="00000000" w:rsidP="00E1728C">
      <w:pPr>
        <w:pStyle w:val="Heading2"/>
      </w:pPr>
      <w:r w:rsidRPr="00E1728C">
        <w:t>Metafora „mývala“</w:t>
      </w:r>
    </w:p>
    <w:p w14:paraId="5825FA20" w14:textId="77777777" w:rsidR="004212B4" w:rsidRPr="00E1728C" w:rsidRDefault="00000000">
      <w:pPr>
        <w:spacing w:after="300"/>
        <w:rPr>
          <w:rFonts w:ascii="Avenir Book" w:hAnsi="Avenir Book"/>
        </w:rPr>
      </w:pPr>
      <w:r w:rsidRPr="00E1728C">
        <w:rPr>
          <w:rFonts w:ascii="Avenir Book" w:hAnsi="Avenir Book"/>
        </w:rPr>
        <w:t xml:space="preserve">„Už nepoužíváme termín ‚chromá kočka‘,“ vysvětluje Dávid Bořuta, předseda FSF. „Přesnější metaforou pro Slovensko roku 2026 je mýval. Je dost chytrý na přežití a </w:t>
      </w:r>
      <w:r w:rsidRPr="00E1728C">
        <w:rPr>
          <w:rFonts w:ascii="Avenir Book" w:hAnsi="Avenir Book"/>
        </w:rPr>
        <w:lastRenderedPageBreak/>
        <w:t>vynalézavý při shánění eurofondů, ale v zásadě je to oportunista – spotřebovává to, co vytvářejí jiní, místo aby budoval vlastní produktivní kapacitu.“</w:t>
      </w:r>
    </w:p>
    <w:p w14:paraId="43F99223" w14:textId="77777777" w:rsidR="004212B4" w:rsidRPr="00E1728C" w:rsidRDefault="00000000" w:rsidP="00E1728C">
      <w:pPr>
        <w:pStyle w:val="Heading2"/>
      </w:pPr>
      <w:r w:rsidRPr="00E1728C">
        <w:t>Varování pro sousedy</w:t>
      </w:r>
    </w:p>
    <w:p w14:paraId="586833DC" w14:textId="77777777" w:rsidR="004212B4" w:rsidRPr="00E1728C" w:rsidRDefault="00000000" w:rsidP="00E1728C">
      <w:pPr>
        <w:spacing w:after="120"/>
        <w:rPr>
          <w:rFonts w:ascii="Avenir Book" w:hAnsi="Avenir Book"/>
        </w:rPr>
      </w:pPr>
      <w:r w:rsidRPr="00E1728C">
        <w:rPr>
          <w:rFonts w:ascii="Avenir Book" w:hAnsi="Avenir Book"/>
        </w:rPr>
        <w:t>Analýza je koncipována jako „přátelské varování“ pro Českou republiku a další sousedy v EU.</w:t>
      </w:r>
    </w:p>
    <w:p w14:paraId="309A7563" w14:textId="77777777" w:rsidR="004212B4" w:rsidRPr="00E1728C" w:rsidRDefault="00000000">
      <w:pPr>
        <w:spacing w:after="300"/>
        <w:rPr>
          <w:rFonts w:ascii="Avenir Book" w:hAnsi="Avenir Book"/>
        </w:rPr>
      </w:pPr>
      <w:r w:rsidRPr="00E1728C">
        <w:rPr>
          <w:rFonts w:ascii="Avenir Book" w:hAnsi="Avenir Book"/>
        </w:rPr>
        <w:t>„Kontrast s Polskem je zdrcující,“ dodává Bořuta. „Polsko si půjčuje na investice do obrany, letišť a jaderné energie. Slovensko si půjčuje na 13. důchody a dotace na energie. Trhy to první tolerují; to druhé trestají. Jsme teď varovným štítkem pro zbytek regionu.“</w:t>
      </w:r>
    </w:p>
    <w:p w14:paraId="67D53801" w14:textId="77777777" w:rsidR="00E71F41" w:rsidRDefault="00E71F41" w:rsidP="00E1728C">
      <w:pPr>
        <w:pStyle w:val="Heading2"/>
      </w:pPr>
      <w:r w:rsidRPr="00E71F41">
        <w:t>Proč má náš hlas váhu</w:t>
      </w:r>
    </w:p>
    <w:p w14:paraId="15F47F31" w14:textId="0D25ABBB" w:rsidR="00E1728C" w:rsidRPr="00E1728C" w:rsidRDefault="00E71F41" w:rsidP="00E1728C">
      <w:pPr>
        <w:pStyle w:val="Heading2"/>
      </w:pPr>
      <w:r w:rsidRPr="00E71F41">
        <w:rPr>
          <w:rFonts w:eastAsia="Arial" w:cs="Arial"/>
          <w:b w:val="0"/>
          <w:bCs w:val="0"/>
          <w:color w:val="auto"/>
        </w:rPr>
        <w:t>Tuto analýzu nevydáváme jen jako pasivní kritici. Future Slovakia Forum aktivně pracuje na konkrétních reformních plánech pro budoucnost. Jsme nezávislý think-tank, jehož cílem je pomoci Slovensku – po téměř dvou dekádách stagnace a chybného vládnutí – zvrátit tento kurz a znovu využít potenciál, který země stále má. Věříme ve fakta, ne v dojmy.</w:t>
      </w:r>
      <w:r w:rsidRPr="00E71F41">
        <w:rPr>
          <w:rFonts w:eastAsia="Arial" w:cs="Arial"/>
          <w:b w:val="0"/>
          <w:bCs w:val="0"/>
          <w:color w:val="auto"/>
        </w:rPr>
        <w:br/>
      </w:r>
      <w:r>
        <w:br/>
      </w:r>
      <w:r w:rsidR="00E1728C" w:rsidRPr="00E1728C">
        <w:t>Přílohy</w:t>
      </w:r>
    </w:p>
    <w:p w14:paraId="3096111C" w14:textId="159EACAB" w:rsidR="004212B4" w:rsidRPr="00E1728C" w:rsidRDefault="00000000" w:rsidP="00E1728C">
      <w:pPr>
        <w:pStyle w:val="ListParagraph"/>
        <w:numPr>
          <w:ilvl w:val="0"/>
          <w:numId w:val="2"/>
        </w:numPr>
        <w:spacing w:before="300" w:after="100"/>
        <w:rPr>
          <w:rFonts w:ascii="Avenir Book" w:hAnsi="Avenir Book"/>
        </w:rPr>
      </w:pPr>
      <w:r w:rsidRPr="00E1728C">
        <w:rPr>
          <w:rFonts w:ascii="Avenir Book" w:hAnsi="Avenir Book"/>
          <w:b/>
          <w:bCs/>
        </w:rPr>
        <w:t xml:space="preserve">Přístup k plné analýze: </w:t>
      </w:r>
      <w:hyperlink r:id="rId7" w:history="1">
        <w:r w:rsidR="004212B4" w:rsidRPr="00E1728C">
          <w:rPr>
            <w:rStyle w:val="Hyperlink"/>
            <w:rFonts w:ascii="Avenir Book" w:hAnsi="Avenir Book"/>
          </w:rPr>
          <w:t>Bratři_bděte _Analyza_Jan2026.pdf</w:t>
        </w:r>
      </w:hyperlink>
    </w:p>
    <w:p w14:paraId="081B3737" w14:textId="49EFC3AC" w:rsidR="004212B4" w:rsidRPr="00E1728C" w:rsidRDefault="00000000" w:rsidP="00E1728C">
      <w:pPr>
        <w:pStyle w:val="ListParagraph"/>
        <w:numPr>
          <w:ilvl w:val="0"/>
          <w:numId w:val="2"/>
        </w:numPr>
        <w:spacing w:after="100"/>
        <w:rPr>
          <w:rFonts w:ascii="Avenir Book" w:hAnsi="Avenir Book"/>
        </w:rPr>
      </w:pPr>
      <w:r w:rsidRPr="00E1728C">
        <w:rPr>
          <w:rFonts w:ascii="Avenir Book" w:hAnsi="Avenir Book"/>
          <w:b/>
          <w:bCs/>
        </w:rPr>
        <w:t xml:space="preserve">Online verze s komentářem: </w:t>
      </w:r>
      <w:hyperlink r:id="rId8" w:history="1">
        <w:r w:rsidR="004212B4" w:rsidRPr="00E1728C">
          <w:rPr>
            <w:rStyle w:val="Hyperlink"/>
            <w:rFonts w:ascii="Avenir Book" w:hAnsi="Avenir Book"/>
          </w:rPr>
          <w:t>Číst online</w:t>
        </w:r>
      </w:hyperlink>
    </w:p>
    <w:p w14:paraId="1721FCDE" w14:textId="2E163206" w:rsidR="004212B4" w:rsidRPr="00E1728C" w:rsidRDefault="00000000" w:rsidP="00E1728C">
      <w:pPr>
        <w:pStyle w:val="ListParagraph"/>
        <w:numPr>
          <w:ilvl w:val="0"/>
          <w:numId w:val="2"/>
        </w:numPr>
        <w:spacing w:after="300"/>
        <w:rPr>
          <w:rFonts w:ascii="Avenir Book" w:hAnsi="Avenir Book"/>
        </w:rPr>
      </w:pPr>
      <w:r w:rsidRPr="00E1728C">
        <w:rPr>
          <w:rFonts w:ascii="Avenir Book" w:hAnsi="Avenir Book"/>
          <w:b/>
          <w:bCs/>
        </w:rPr>
        <w:t xml:space="preserve">Infografiky: </w:t>
      </w:r>
      <w:hyperlink r:id="rId9" w:history="1">
        <w:r w:rsidR="004212B4" w:rsidRPr="00E1728C">
          <w:rPr>
            <w:rStyle w:val="Hyperlink"/>
            <w:rFonts w:ascii="Avenir Book" w:hAnsi="Avenir Book"/>
          </w:rPr>
          <w:t>Česká verze</w:t>
        </w:r>
      </w:hyperlink>
      <w:r w:rsidRPr="00E1728C">
        <w:rPr>
          <w:rFonts w:ascii="Avenir Book" w:hAnsi="Avenir Book"/>
        </w:rPr>
        <w:t xml:space="preserve"> | </w:t>
      </w:r>
      <w:hyperlink r:id="rId10" w:history="1">
        <w:r w:rsidR="004212B4" w:rsidRPr="00E1728C">
          <w:rPr>
            <w:rStyle w:val="Hyperlink"/>
            <w:rFonts w:ascii="Avenir Book" w:hAnsi="Avenir Book"/>
          </w:rPr>
          <w:t>obrázek s textem</w:t>
        </w:r>
      </w:hyperlink>
      <w:r w:rsidRPr="00E1728C">
        <w:rPr>
          <w:rFonts w:ascii="Avenir Book" w:hAnsi="Avenir Book"/>
        </w:rPr>
        <w:t xml:space="preserve"> | </w:t>
      </w:r>
      <w:hyperlink r:id="rId11" w:history="1">
        <w:r w:rsidR="004212B4" w:rsidRPr="00E1728C">
          <w:rPr>
            <w:rStyle w:val="Hyperlink"/>
            <w:rFonts w:ascii="Avenir Book" w:hAnsi="Avenir Book"/>
          </w:rPr>
          <w:t>obrázek bez textu</w:t>
        </w:r>
      </w:hyperlink>
    </w:p>
    <w:p w14:paraId="0DEE99DB" w14:textId="5BB5ED36" w:rsidR="004212B4" w:rsidRPr="00E1728C" w:rsidRDefault="00E1728C" w:rsidP="00E1728C">
      <w:pPr>
        <w:pStyle w:val="Heading2"/>
      </w:pPr>
      <w:r>
        <w:br/>
      </w:r>
      <w:r w:rsidRPr="00E1728C">
        <w:t>Mediální kontakt</w:t>
      </w:r>
    </w:p>
    <w:p w14:paraId="15912BCC" w14:textId="77777777" w:rsidR="004212B4" w:rsidRPr="00E1728C" w:rsidRDefault="00000000">
      <w:pPr>
        <w:spacing w:after="50"/>
        <w:rPr>
          <w:rFonts w:ascii="Avenir Book" w:hAnsi="Avenir Book"/>
        </w:rPr>
      </w:pPr>
      <w:r w:rsidRPr="00E1728C">
        <w:rPr>
          <w:rFonts w:ascii="Avenir Book" w:hAnsi="Avenir Book"/>
        </w:rPr>
        <w:t>Dávid Bořuta</w:t>
      </w:r>
    </w:p>
    <w:p w14:paraId="7D49DE4A" w14:textId="77777777" w:rsidR="004212B4" w:rsidRPr="00E1728C" w:rsidRDefault="00000000">
      <w:pPr>
        <w:spacing w:after="50"/>
        <w:rPr>
          <w:rFonts w:ascii="Avenir Book" w:hAnsi="Avenir Book"/>
        </w:rPr>
      </w:pPr>
      <w:r w:rsidRPr="00E1728C">
        <w:rPr>
          <w:rFonts w:ascii="Avenir Book" w:hAnsi="Avenir Book"/>
          <w:color w:val="0563C1"/>
        </w:rPr>
        <w:t>media@future-slovakia.eu</w:t>
      </w:r>
    </w:p>
    <w:p w14:paraId="15E1AB08" w14:textId="77777777" w:rsidR="004212B4" w:rsidRPr="00E1728C" w:rsidRDefault="00000000">
      <w:pPr>
        <w:spacing w:after="50"/>
        <w:rPr>
          <w:rFonts w:ascii="Avenir Book" w:hAnsi="Avenir Book"/>
        </w:rPr>
      </w:pPr>
      <w:r w:rsidRPr="00E1728C">
        <w:rPr>
          <w:rFonts w:ascii="Avenir Book" w:hAnsi="Avenir Book"/>
        </w:rPr>
        <w:t>+420 732 390 870</w:t>
      </w:r>
    </w:p>
    <w:p w14:paraId="0D6B05FC" w14:textId="77777777" w:rsidR="004212B4" w:rsidRPr="00E1728C" w:rsidRDefault="00000000">
      <w:pPr>
        <w:spacing w:after="200"/>
        <w:rPr>
          <w:rFonts w:ascii="Avenir Book" w:hAnsi="Avenir Book"/>
        </w:rPr>
      </w:pPr>
      <w:r w:rsidRPr="00E1728C">
        <w:rPr>
          <w:rFonts w:ascii="Avenir Book" w:hAnsi="Avenir Book"/>
          <w:color w:val="0563C1"/>
        </w:rPr>
        <w:t>www.future-slovakia.eu</w:t>
      </w:r>
    </w:p>
    <w:sectPr w:rsidR="004212B4" w:rsidRPr="00E1728C">
      <w:headerReference w:type="default" r:id="rId12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A03CE" w14:textId="77777777" w:rsidR="00DF6A8D" w:rsidRDefault="00DF6A8D" w:rsidP="00C33F03">
      <w:r>
        <w:separator/>
      </w:r>
    </w:p>
  </w:endnote>
  <w:endnote w:type="continuationSeparator" w:id="0">
    <w:p w14:paraId="033FE51C" w14:textId="77777777" w:rsidR="00DF6A8D" w:rsidRDefault="00DF6A8D" w:rsidP="00C3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5E4AF" w14:textId="77777777" w:rsidR="00DF6A8D" w:rsidRDefault="00DF6A8D" w:rsidP="00C33F03">
      <w:r>
        <w:separator/>
      </w:r>
    </w:p>
  </w:footnote>
  <w:footnote w:type="continuationSeparator" w:id="0">
    <w:p w14:paraId="76E2D305" w14:textId="77777777" w:rsidR="00DF6A8D" w:rsidRDefault="00DF6A8D" w:rsidP="00C33F03">
      <w:r>
        <w:continuationSeparator/>
      </w:r>
    </w:p>
  </w:footnote>
  <w:footnote w:id="1">
    <w:p w14:paraId="5642C632" w14:textId="4EB21060" w:rsidR="00C33F03" w:rsidRPr="00C33F03" w:rsidRDefault="00C33F03">
      <w:pPr>
        <w:pStyle w:val="FootnoteText"/>
        <w:rPr>
          <w:rFonts w:ascii="Avenir Book" w:hAnsi="Avenir Book"/>
          <w:i/>
          <w:iCs/>
          <w:sz w:val="18"/>
          <w:szCs w:val="18"/>
          <w:lang w:val="sk-SK"/>
        </w:rPr>
      </w:pPr>
      <w:r w:rsidRPr="00C33F03">
        <w:rPr>
          <w:rStyle w:val="FootnoteReference"/>
          <w:rFonts w:ascii="Avenir Book" w:hAnsi="Avenir Book"/>
          <w:i/>
          <w:iCs/>
          <w:color w:val="666666"/>
          <w:sz w:val="18"/>
          <w:szCs w:val="18"/>
        </w:rPr>
        <w:footnoteRef/>
      </w:r>
      <w:r w:rsidRPr="00C33F03">
        <w:rPr>
          <w:rFonts w:ascii="Avenir Book" w:hAnsi="Avenir Book"/>
          <w:i/>
          <w:iCs/>
          <w:color w:val="666666"/>
          <w:sz w:val="18"/>
          <w:szCs w:val="18"/>
        </w:rPr>
        <w:t xml:space="preserve"> </w:t>
      </w:r>
      <w:r w:rsidRPr="00C33F03">
        <w:rPr>
          <w:rStyle w:val="Strong"/>
          <w:rFonts w:ascii="Avenir Book" w:hAnsi="Avenir Book"/>
          <w:i/>
          <w:iCs/>
          <w:color w:val="666666"/>
          <w:sz w:val="18"/>
          <w:szCs w:val="18"/>
        </w:rPr>
        <w:t>POD EMBARGEM DO:</w:t>
      </w:r>
      <w:r w:rsidRPr="00C33F03">
        <w:rPr>
          <w:rFonts w:ascii="Avenir Book" w:hAnsi="Avenir Book"/>
          <w:i/>
          <w:iCs/>
          <w:color w:val="666666"/>
          <w:sz w:val="18"/>
          <w:szCs w:val="18"/>
        </w:rPr>
        <w:t xml:space="preserve"> </w:t>
      </w:r>
      <w:r w:rsidRPr="00C33F03">
        <w:rPr>
          <w:rStyle w:val="Strong"/>
          <w:rFonts w:ascii="Avenir Book" w:hAnsi="Avenir Book"/>
          <w:i/>
          <w:iCs/>
          <w:color w:val="666666"/>
          <w:sz w:val="18"/>
          <w:szCs w:val="18"/>
        </w:rPr>
        <w:t>úterý 13. ledna 2026, 10:00 CET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7C2C" w14:textId="627BC3CD" w:rsidR="00C33F03" w:rsidRDefault="00C33F03">
    <w:pPr>
      <w:pStyle w:val="Header"/>
    </w:pPr>
    <w:r>
      <w:rPr>
        <w:rFonts w:ascii="Avenir Book" w:hAnsi="Avenir Book"/>
        <w:noProof/>
      </w:rPr>
      <w:drawing>
        <wp:anchor distT="0" distB="0" distL="114300" distR="114300" simplePos="0" relativeHeight="251659264" behindDoc="0" locked="0" layoutInCell="1" allowOverlap="1" wp14:anchorId="4113706E" wp14:editId="1F1DC878">
          <wp:simplePos x="0" y="0"/>
          <wp:positionH relativeFrom="column">
            <wp:posOffset>5018157</wp:posOffset>
          </wp:positionH>
          <wp:positionV relativeFrom="paragraph">
            <wp:posOffset>-164078</wp:posOffset>
          </wp:positionV>
          <wp:extent cx="776558" cy="275479"/>
          <wp:effectExtent l="0" t="0" r="0" b="4445"/>
          <wp:wrapNone/>
          <wp:docPr id="259361391" name="Picture 1" descr="A blue ribbon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78923" name="Picture 1" descr="A blue ribbon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58" cy="275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0F29"/>
    <w:multiLevelType w:val="hybridMultilevel"/>
    <w:tmpl w:val="AB206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C23B3"/>
    <w:multiLevelType w:val="hybridMultilevel"/>
    <w:tmpl w:val="A126D556"/>
    <w:lvl w:ilvl="0" w:tplc="C71E5366">
      <w:start w:val="1"/>
      <w:numFmt w:val="bullet"/>
      <w:lvlText w:val="●"/>
      <w:lvlJc w:val="left"/>
      <w:pPr>
        <w:ind w:left="720" w:hanging="360"/>
      </w:pPr>
    </w:lvl>
    <w:lvl w:ilvl="1" w:tplc="F34EAA46">
      <w:start w:val="1"/>
      <w:numFmt w:val="bullet"/>
      <w:lvlText w:val="○"/>
      <w:lvlJc w:val="left"/>
      <w:pPr>
        <w:ind w:left="1440" w:hanging="360"/>
      </w:pPr>
    </w:lvl>
    <w:lvl w:ilvl="2" w:tplc="C0622BF6">
      <w:start w:val="1"/>
      <w:numFmt w:val="bullet"/>
      <w:lvlText w:val="■"/>
      <w:lvlJc w:val="left"/>
      <w:pPr>
        <w:ind w:left="2160" w:hanging="360"/>
      </w:pPr>
    </w:lvl>
    <w:lvl w:ilvl="3" w:tplc="F2403010">
      <w:start w:val="1"/>
      <w:numFmt w:val="bullet"/>
      <w:lvlText w:val="●"/>
      <w:lvlJc w:val="left"/>
      <w:pPr>
        <w:ind w:left="2880" w:hanging="360"/>
      </w:pPr>
    </w:lvl>
    <w:lvl w:ilvl="4" w:tplc="3B9AE41C">
      <w:start w:val="1"/>
      <w:numFmt w:val="bullet"/>
      <w:lvlText w:val="○"/>
      <w:lvlJc w:val="left"/>
      <w:pPr>
        <w:ind w:left="3600" w:hanging="360"/>
      </w:pPr>
    </w:lvl>
    <w:lvl w:ilvl="5" w:tplc="BC48A62A">
      <w:start w:val="1"/>
      <w:numFmt w:val="bullet"/>
      <w:lvlText w:val="■"/>
      <w:lvlJc w:val="left"/>
      <w:pPr>
        <w:ind w:left="4320" w:hanging="360"/>
      </w:pPr>
    </w:lvl>
    <w:lvl w:ilvl="6" w:tplc="3B52496C">
      <w:start w:val="1"/>
      <w:numFmt w:val="bullet"/>
      <w:lvlText w:val="●"/>
      <w:lvlJc w:val="left"/>
      <w:pPr>
        <w:ind w:left="5040" w:hanging="360"/>
      </w:pPr>
    </w:lvl>
    <w:lvl w:ilvl="7" w:tplc="0AB64878">
      <w:start w:val="1"/>
      <w:numFmt w:val="bullet"/>
      <w:lvlText w:val="●"/>
      <w:lvlJc w:val="left"/>
      <w:pPr>
        <w:ind w:left="5760" w:hanging="360"/>
      </w:pPr>
    </w:lvl>
    <w:lvl w:ilvl="8" w:tplc="BA90CF90">
      <w:start w:val="1"/>
      <w:numFmt w:val="bullet"/>
      <w:lvlText w:val="●"/>
      <w:lvlJc w:val="left"/>
      <w:pPr>
        <w:ind w:left="6480" w:hanging="360"/>
      </w:pPr>
    </w:lvl>
  </w:abstractNum>
  <w:num w:numId="1" w16cid:durableId="1525287208">
    <w:abstractNumId w:val="1"/>
    <w:lvlOverride w:ilvl="0">
      <w:startOverride w:val="1"/>
    </w:lvlOverride>
  </w:num>
  <w:num w:numId="2" w16cid:durableId="105299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B4"/>
    <w:rsid w:val="00361AD0"/>
    <w:rsid w:val="004212B4"/>
    <w:rsid w:val="004B1B68"/>
    <w:rsid w:val="00A17232"/>
    <w:rsid w:val="00B40E3F"/>
    <w:rsid w:val="00C33F03"/>
    <w:rsid w:val="00CA4A2F"/>
    <w:rsid w:val="00D22456"/>
    <w:rsid w:val="00DF6A8D"/>
    <w:rsid w:val="00E1728C"/>
    <w:rsid w:val="00E329D0"/>
    <w:rsid w:val="00E7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24DCA8"/>
  <w15:docId w15:val="{EA59E796-3D4E-0E4B-A90A-1AD490D2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SK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Web"/>
    <w:uiPriority w:val="9"/>
    <w:unhideWhenUsed/>
    <w:qFormat/>
    <w:rsid w:val="00E1728C"/>
    <w:pPr>
      <w:spacing w:before="0" w:beforeAutospacing="0" w:after="120" w:afterAutospacing="0"/>
      <w:outlineLvl w:val="1"/>
    </w:pPr>
    <w:rPr>
      <w:rFonts w:ascii="Avenir Book" w:hAnsi="Avenir Book"/>
      <w:b/>
      <w:bCs/>
      <w:color w:val="0070C0"/>
      <w:sz w:val="22"/>
      <w:szCs w:val="2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E172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72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3F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F03"/>
  </w:style>
  <w:style w:type="paragraph" w:styleId="Footer">
    <w:name w:val="footer"/>
    <w:basedOn w:val="Normal"/>
    <w:link w:val="FooterChar"/>
    <w:uiPriority w:val="99"/>
    <w:unhideWhenUsed/>
    <w:rsid w:val="00C33F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F03"/>
  </w:style>
  <w:style w:type="character" w:styleId="Strong">
    <w:name w:val="Strong"/>
    <w:basedOn w:val="DefaultParagraphFont"/>
    <w:uiPriority w:val="22"/>
    <w:qFormat/>
    <w:rsid w:val="00C33F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ture-slovakia.eu/sk/news/watch-and-learn%3A-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80496fad-0a78-43cd-b632-94e9cfa5a1f9.usrfiles.com/ugd/80496f_7189a3b306154783a7d6bde31bf3a4f7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atic.wixstatic.com/media/80496f_0e1d614189834d3ebf1169540817a5b8~mv2.pn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tatic.wixstatic.com/media/80496f_8d4b3a165a5f4066836882d57b46cfc7~mv2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ic.wixstatic.com/media/80496f_629306ff539d4148a3c61528a6912535~mv2.pn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David Boruta</cp:lastModifiedBy>
  <cp:revision>10</cp:revision>
  <dcterms:created xsi:type="dcterms:W3CDTF">2026-01-12T01:29:00Z</dcterms:created>
  <dcterms:modified xsi:type="dcterms:W3CDTF">2026-01-12T09:24:00Z</dcterms:modified>
</cp:coreProperties>
</file>